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54" w:rsidRDefault="00E31A54">
      <w:pPr>
        <w:spacing w:after="0" w:line="259" w:lineRule="auto"/>
        <w:ind w:left="43" w:right="0" w:firstLine="0"/>
        <w:jc w:val="left"/>
        <w:rPr>
          <w:b/>
          <w:sz w:val="22"/>
        </w:rPr>
      </w:pPr>
    </w:p>
    <w:p w:rsidR="00E31A54" w:rsidRDefault="00E31A54">
      <w:pPr>
        <w:spacing w:after="0" w:line="259" w:lineRule="auto"/>
        <w:ind w:left="43" w:right="0" w:firstLine="0"/>
        <w:jc w:val="left"/>
        <w:rPr>
          <w:b/>
          <w:sz w:val="22"/>
        </w:rPr>
      </w:pPr>
    </w:p>
    <w:p w:rsidR="00E57E01" w:rsidRDefault="00AE7858" w:rsidP="00E31A54">
      <w:pPr>
        <w:spacing w:after="0" w:line="259" w:lineRule="auto"/>
        <w:ind w:left="43" w:right="0" w:firstLine="0"/>
        <w:jc w:val="center"/>
      </w:pPr>
      <w:r>
        <w:rPr>
          <w:b/>
          <w:sz w:val="22"/>
        </w:rPr>
        <w:t>ZAŁĄCZNIK NR 1 DO OFERTY/UMOWY</w:t>
      </w:r>
    </w:p>
    <w:p w:rsidR="00E57E01" w:rsidRDefault="00AE7858" w:rsidP="00E31A54">
      <w:pPr>
        <w:spacing w:after="162" w:line="255" w:lineRule="auto"/>
        <w:ind w:left="-5" w:right="0" w:hanging="10"/>
        <w:jc w:val="center"/>
      </w:pPr>
      <w:r>
        <w:rPr>
          <w:b/>
        </w:rPr>
        <w:t>Warunki ogólne prefabrykacji i dostaw stali zbrojeniowej.</w:t>
      </w:r>
    </w:p>
    <w:p w:rsidR="00E57E01" w:rsidRDefault="00AE7858">
      <w:pPr>
        <w:spacing w:after="323" w:line="255" w:lineRule="auto"/>
        <w:ind w:left="-5" w:right="0" w:hanging="10"/>
        <w:jc w:val="left"/>
      </w:pPr>
      <w:r>
        <w:rPr>
          <w:b/>
        </w:rPr>
        <w:t xml:space="preserve">Niniejsze ogólne warunki stanowią integralną część umów dostawy stali zbrojeniowej zawieranych pomiędzy dostawcą i odbiorcą. </w:t>
      </w:r>
      <w:r>
        <w:t xml:space="preserve">   </w:t>
      </w:r>
    </w:p>
    <w:p w:rsidR="00E31A54" w:rsidRDefault="00E31A54">
      <w:pPr>
        <w:spacing w:after="323" w:line="255" w:lineRule="auto"/>
        <w:ind w:left="-5" w:right="0" w:hanging="10"/>
        <w:jc w:val="left"/>
      </w:pPr>
    </w:p>
    <w:p w:rsidR="00E57E01" w:rsidRDefault="00AE7858">
      <w:pPr>
        <w:pStyle w:val="Nagwek1"/>
        <w:tabs>
          <w:tab w:val="center" w:pos="1642"/>
        </w:tabs>
        <w:ind w:left="-1" w:firstLine="0"/>
      </w:pPr>
      <w:r>
        <w:rPr>
          <w:rFonts w:ascii="Calibri" w:eastAsia="Calibri" w:hAnsi="Calibri" w:cs="Calibri"/>
          <w:b w:val="0"/>
          <w:sz w:val="22"/>
          <w:u w:val="none"/>
        </w:rPr>
        <w:t xml:space="preserve">   </w:t>
      </w: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 xml:space="preserve">1. </w:t>
      </w:r>
      <w:r>
        <w:t>Zbrojenie prefabrykowane</w:t>
      </w:r>
      <w:r>
        <w:rPr>
          <w:u w:val="none"/>
        </w:rPr>
        <w:t xml:space="preserve">    </w:t>
      </w:r>
    </w:p>
    <w:p w:rsidR="00E57E01" w:rsidRDefault="00AE7858">
      <w:pPr>
        <w:spacing w:after="323"/>
        <w:ind w:left="403" w:right="0" w:firstLine="0"/>
      </w:pPr>
      <w:r>
        <w:t xml:space="preserve">Zbrojenie prefabrykowane to elementy wykonane z prętów żebrowanych do zbrojenia konstrukcji żelbetowych. Elementy pojedyncze będą wykonywane z prętów prostych lub z kręgów, dociętych i pogiętych zgodnie z dokumentacją projektową wg obowiązujących norm. Również pręty proste przycięte na określoną długość lub o długościach handlowych są elementami zbrojenia budowlanego- prefabrykowanego. Z pojęcia prefabrykacji zbrojenia wyłącza się wszelkie procesy spawania oraz gwintowania prętów np. typu LENTHON lub BETOMAX.    </w:t>
      </w:r>
    </w:p>
    <w:p w:rsidR="00E57E01" w:rsidRDefault="00AE7858">
      <w:pPr>
        <w:pStyle w:val="Nagwek1"/>
        <w:tabs>
          <w:tab w:val="center" w:pos="3032"/>
        </w:tabs>
        <w:spacing w:after="80"/>
        <w:ind w:left="-1" w:firstLine="0"/>
      </w:pPr>
      <w:r>
        <w:rPr>
          <w:rFonts w:ascii="Calibri" w:eastAsia="Calibri" w:hAnsi="Calibri" w:cs="Calibri"/>
          <w:b w:val="0"/>
          <w:sz w:val="22"/>
          <w:u w:val="none"/>
        </w:rPr>
        <w:t xml:space="preserve">   </w:t>
      </w: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 xml:space="preserve">2. </w:t>
      </w:r>
      <w:r>
        <w:t>Gatunki stali prętów żebrowanych do prefabrykacji zbrojenia</w:t>
      </w:r>
      <w:r>
        <w:rPr>
          <w:u w:val="none"/>
        </w:rPr>
        <w:t xml:space="preserve">    </w:t>
      </w:r>
    </w:p>
    <w:p w:rsidR="00E57E01" w:rsidRDefault="00AE7858">
      <w:pPr>
        <w:numPr>
          <w:ilvl w:val="0"/>
          <w:numId w:val="1"/>
        </w:numPr>
        <w:spacing w:after="222"/>
        <w:ind w:right="0" w:hanging="362"/>
      </w:pPr>
      <w:r>
        <w:t xml:space="preserve">Stosuje się klasy AIIIN w gatunkach: B500SP, B500B,   o następujących średnicach: Ø  8, 10, 12, 14, 16, 18, 20, 22, 25, 28, 32 mm; oraz AIIN w gatunku B500A o średnicach Ø  6,8 mm    </w:t>
      </w:r>
    </w:p>
    <w:p w:rsidR="00E57E01" w:rsidRDefault="00AE7858">
      <w:pPr>
        <w:numPr>
          <w:ilvl w:val="0"/>
          <w:numId w:val="1"/>
        </w:numPr>
        <w:ind w:right="0" w:hanging="362"/>
      </w:pPr>
      <w:r>
        <w:t xml:space="preserve">W przypadku średnic Ø 18, 22 mm zastrzega się konieczność wcześniejszego, tj. z wyprzedzeniem 6-cio tygodniowym złożenia zapotrzebowania szczegółowego na te średnice i dokonania przedpłaty w kwocie 70% wartości zamówienia;    </w:t>
      </w:r>
    </w:p>
    <w:p w:rsidR="00E57E01" w:rsidRDefault="00AE7858">
      <w:pPr>
        <w:numPr>
          <w:ilvl w:val="0"/>
          <w:numId w:val="1"/>
        </w:numPr>
        <w:spacing w:after="691"/>
        <w:ind w:right="0" w:hanging="362"/>
      </w:pPr>
      <w:r>
        <w:t xml:space="preserve">Powierzchnia pręta może być pokryta jednolitym nalotem rdzy.    </w:t>
      </w:r>
    </w:p>
    <w:p w:rsidR="00E57E01" w:rsidRDefault="00AE7858">
      <w:pPr>
        <w:pStyle w:val="Nagwek1"/>
        <w:tabs>
          <w:tab w:val="center" w:pos="1624"/>
        </w:tabs>
        <w:ind w:left="-1" w:firstLine="0"/>
      </w:pPr>
      <w:r>
        <w:rPr>
          <w:rFonts w:ascii="Calibri" w:eastAsia="Calibri" w:hAnsi="Calibri" w:cs="Calibri"/>
          <w:b w:val="0"/>
          <w:sz w:val="22"/>
          <w:u w:val="none"/>
        </w:rPr>
        <w:t xml:space="preserve">   </w:t>
      </w: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 xml:space="preserve">3. </w:t>
      </w:r>
      <w:r>
        <w:t>Technologia gięcia i cięcia</w:t>
      </w:r>
      <w:r>
        <w:rPr>
          <w:u w:val="none"/>
        </w:rPr>
        <w:t xml:space="preserve">    </w:t>
      </w:r>
    </w:p>
    <w:p w:rsidR="00E57E01" w:rsidRDefault="00AE7858">
      <w:pPr>
        <w:spacing w:after="0"/>
        <w:ind w:left="403" w:right="0" w:firstLine="0"/>
      </w:pPr>
      <w:r>
        <w:t xml:space="preserve">Użyte przez dostawcę lub zależnego podwykonawcę maszyny do cięcia i gięcia uwzględniają wymagania dotyczące Normy  </w:t>
      </w:r>
    </w:p>
    <w:p w:rsidR="00E57E01" w:rsidRDefault="00AE7858">
      <w:pPr>
        <w:spacing w:after="77"/>
        <w:ind w:left="403" w:right="0" w:firstLine="0"/>
      </w:pPr>
      <w:r>
        <w:t xml:space="preserve">PN-EN 1992-1-:2008 </w:t>
      </w:r>
      <w:proofErr w:type="spellStart"/>
      <w:r>
        <w:t>Eurokod</w:t>
      </w:r>
      <w:proofErr w:type="spellEnd"/>
      <w:r>
        <w:t xml:space="preserve"> 2-Projektowanie konstrukcji z betonu, Część 1-1: Reguły ogólne i reguły dla budynków, w zakresie prefabrykacji stali. Jeżeli dostawca wykryje, że dokumentacja wykonawcza przewiduje niezgodności z Normą np. promienie gięcia (mogące doprowadzić do pęknięcia materiału) to odbiorca będzie miał obowiązek dokonać stosownej zmiany. Jeżeli odbiorca nie dostosuje dokumentacji wykonawczej do wymogów w/w Normy, wówczas dostawca nie będzie zobowiązany do wykonania zbrojeń w oparciu o tą dokumentację.    </w:t>
      </w:r>
    </w:p>
    <w:p w:rsidR="00E57E01" w:rsidRDefault="00AE7858">
      <w:pPr>
        <w:numPr>
          <w:ilvl w:val="0"/>
          <w:numId w:val="2"/>
        </w:numPr>
        <w:spacing w:after="107"/>
        <w:ind w:right="0" w:hanging="362"/>
      </w:pPr>
      <w:r>
        <w:t xml:space="preserve">Maksymalna długość prętów prostych użytych do prefabrykacji zbrojeń może wynosić 14,0 m;    </w:t>
      </w:r>
    </w:p>
    <w:p w:rsidR="00E57E01" w:rsidRDefault="00AE7858">
      <w:pPr>
        <w:numPr>
          <w:ilvl w:val="0"/>
          <w:numId w:val="2"/>
        </w:numPr>
        <w:spacing w:after="255" w:line="260" w:lineRule="auto"/>
        <w:ind w:right="0" w:hanging="362"/>
      </w:pPr>
      <w:r>
        <w:t xml:space="preserve">Maksymalna ilość </w:t>
      </w:r>
      <w:proofErr w:type="spellStart"/>
      <w:r>
        <w:t>gięć</w:t>
      </w:r>
      <w:proofErr w:type="spellEnd"/>
      <w:r>
        <w:t xml:space="preserve"> w przypadku elementów trójwymiarowych wynosi 4 (nie dotyczy spirali);    </w:t>
      </w:r>
    </w:p>
    <w:p w:rsidR="00E57E01" w:rsidRDefault="00AE7858">
      <w:pPr>
        <w:numPr>
          <w:ilvl w:val="0"/>
          <w:numId w:val="2"/>
        </w:numPr>
        <w:ind w:right="0" w:hanging="362"/>
      </w:pPr>
      <w:r>
        <w:t xml:space="preserve">W przypadku gięcia elementów płaskich z prętów o średnicach Ø 6, 8, 10, 12, 14, 16 mm ilość gięcia nie może przekraczać liczby 20, a długość takiego elementu (nie długość pręta użytego do wykonania tego elementu) mierzona w płaszczyźnie linią prostą od lewej do prawej strony nie może przekraczać 2,4 m (uzależnia to skrajnia transportowa);    </w:t>
      </w:r>
    </w:p>
    <w:p w:rsidR="00E31A54" w:rsidRDefault="00E31A54" w:rsidP="00E31A54">
      <w:pPr>
        <w:ind w:left="763" w:right="0" w:firstLine="0"/>
      </w:pPr>
    </w:p>
    <w:p w:rsidR="00E31A54" w:rsidRDefault="00E31A54" w:rsidP="00E31A54">
      <w:pPr>
        <w:ind w:left="0" w:right="0" w:firstLine="0"/>
      </w:pPr>
    </w:p>
    <w:p w:rsidR="00F07EF4" w:rsidRDefault="00F07EF4" w:rsidP="00E31A54">
      <w:pPr>
        <w:ind w:left="0" w:right="0" w:firstLine="0"/>
      </w:pPr>
      <w:bookmarkStart w:id="0" w:name="_GoBack"/>
      <w:bookmarkEnd w:id="0"/>
    </w:p>
    <w:p w:rsidR="00E31A54" w:rsidRDefault="00E31A54" w:rsidP="00E31A54">
      <w:pPr>
        <w:ind w:left="0" w:right="0" w:firstLine="0"/>
      </w:pPr>
    </w:p>
    <w:p w:rsidR="00E57E01" w:rsidRDefault="00AE7858">
      <w:pPr>
        <w:numPr>
          <w:ilvl w:val="0"/>
          <w:numId w:val="2"/>
        </w:numPr>
        <w:spacing w:after="0"/>
        <w:ind w:right="0" w:hanging="362"/>
      </w:pPr>
      <w:r>
        <w:lastRenderedPageBreak/>
        <w:t xml:space="preserve">Tolerancje gięcia i cięcia:    </w:t>
      </w:r>
    </w:p>
    <w:tbl>
      <w:tblPr>
        <w:tblStyle w:val="TableGrid"/>
        <w:tblW w:w="8342" w:type="dxa"/>
        <w:tblInd w:w="780" w:type="dxa"/>
        <w:tblCellMar>
          <w:top w:w="208" w:type="dxa"/>
          <w:left w:w="79" w:type="dxa"/>
          <w:bottom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758"/>
        <w:gridCol w:w="2794"/>
      </w:tblGrid>
      <w:tr w:rsidR="00E57E01">
        <w:trPr>
          <w:trHeight w:val="912"/>
        </w:trPr>
        <w:tc>
          <w:tcPr>
            <w:tcW w:w="2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E57E01" w:rsidRDefault="00AE78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Parametr:</w:t>
            </w:r>
            <w:r>
              <w:t xml:space="preserve">   </w:t>
            </w:r>
          </w:p>
        </w:tc>
        <w:tc>
          <w:tcPr>
            <w:tcW w:w="2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E57E01" w:rsidRDefault="00AE7858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>Zakres tolerancji</w:t>
            </w:r>
            <w:r>
              <w:t xml:space="preserve">   </w:t>
            </w:r>
          </w:p>
        </w:tc>
        <w:tc>
          <w:tcPr>
            <w:tcW w:w="27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E57E01" w:rsidRDefault="00AE7858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>Dopuszczalna odchyłka</w:t>
            </w:r>
            <w:r>
              <w:t xml:space="preserve">   </w:t>
            </w:r>
          </w:p>
        </w:tc>
      </w:tr>
      <w:tr w:rsidR="00E57E01">
        <w:trPr>
          <w:trHeight w:val="1313"/>
        </w:trPr>
        <w:tc>
          <w:tcPr>
            <w:tcW w:w="2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E57E01" w:rsidRDefault="00AE7858">
            <w:pPr>
              <w:spacing w:after="0" w:line="259" w:lineRule="auto"/>
              <w:ind w:left="0" w:right="0" w:firstLine="0"/>
              <w:jc w:val="left"/>
            </w:pPr>
            <w:r>
              <w:t xml:space="preserve">Długość po przycięciu    </w:t>
            </w:r>
          </w:p>
          <w:p w:rsidR="00E57E01" w:rsidRDefault="00AE7858">
            <w:pPr>
              <w:spacing w:after="0" w:line="259" w:lineRule="auto"/>
              <w:ind w:left="0" w:right="0" w:firstLine="0"/>
              <w:jc w:val="left"/>
            </w:pPr>
            <w:r>
              <w:t xml:space="preserve">( L - d ł u g o ś ć p r ę t a w g  Dokumentacji Projektowej)   </w:t>
            </w:r>
          </w:p>
        </w:tc>
        <w:tc>
          <w:tcPr>
            <w:tcW w:w="2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57E01" w:rsidRDefault="00AE7858">
            <w:pPr>
              <w:spacing w:after="0" w:line="259" w:lineRule="auto"/>
              <w:ind w:left="12" w:right="0" w:firstLine="0"/>
              <w:jc w:val="left"/>
            </w:pPr>
            <w:r>
              <w:t xml:space="preserve">Dla L ≤ 6,0 m   </w:t>
            </w:r>
          </w:p>
          <w:p w:rsidR="00E57E01" w:rsidRDefault="00AE7858">
            <w:pPr>
              <w:spacing w:after="0" w:line="259" w:lineRule="auto"/>
              <w:ind w:left="12" w:right="0" w:firstLine="0"/>
              <w:jc w:val="left"/>
            </w:pPr>
            <w:r>
              <w:t xml:space="preserve">Dla L ≥ 6,0 m   </w:t>
            </w:r>
          </w:p>
        </w:tc>
        <w:tc>
          <w:tcPr>
            <w:tcW w:w="27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57E01" w:rsidRDefault="00AE7858">
            <w:pPr>
              <w:spacing w:after="0" w:line="259" w:lineRule="auto"/>
              <w:ind w:left="14" w:right="0" w:firstLine="0"/>
              <w:jc w:val="left"/>
            </w:pPr>
            <w:r>
              <w:t xml:space="preserve">± 20 mm    </w:t>
            </w:r>
          </w:p>
          <w:p w:rsidR="00E57E01" w:rsidRDefault="00AE7858">
            <w:pPr>
              <w:spacing w:after="0" w:line="259" w:lineRule="auto"/>
              <w:ind w:left="14" w:right="0" w:firstLine="0"/>
              <w:jc w:val="left"/>
            </w:pPr>
            <w:r>
              <w:t xml:space="preserve">± 30 mm   </w:t>
            </w:r>
          </w:p>
        </w:tc>
      </w:tr>
      <w:tr w:rsidR="00E57E01">
        <w:trPr>
          <w:trHeight w:val="1514"/>
        </w:trPr>
        <w:tc>
          <w:tcPr>
            <w:tcW w:w="2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57E01" w:rsidRDefault="00AE7858">
            <w:pPr>
              <w:spacing w:after="0" w:line="259" w:lineRule="auto"/>
              <w:ind w:left="0" w:right="0" w:firstLine="0"/>
              <w:jc w:val="left"/>
            </w:pPr>
            <w:r>
              <w:t xml:space="preserve">Miejsce docięcia    </w:t>
            </w:r>
          </w:p>
          <w:p w:rsidR="00E57E01" w:rsidRDefault="00AE7858">
            <w:pPr>
              <w:spacing w:after="0" w:line="259" w:lineRule="auto"/>
              <w:ind w:left="0" w:right="0" w:firstLine="0"/>
              <w:jc w:val="left"/>
            </w:pPr>
            <w:r>
              <w:t xml:space="preserve">(w stosunku do wymagań    </w:t>
            </w:r>
          </w:p>
          <w:p w:rsidR="00E57E01" w:rsidRDefault="00AE7858">
            <w:pPr>
              <w:spacing w:after="0" w:line="259" w:lineRule="auto"/>
              <w:ind w:left="0" w:right="0" w:firstLine="0"/>
              <w:jc w:val="left"/>
            </w:pPr>
            <w:r>
              <w:t xml:space="preserve">Dokumentacji Projektowej)   </w:t>
            </w:r>
          </w:p>
        </w:tc>
        <w:tc>
          <w:tcPr>
            <w:tcW w:w="2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57E01" w:rsidRDefault="00AE7858">
            <w:pPr>
              <w:spacing w:after="0" w:line="259" w:lineRule="auto"/>
              <w:ind w:left="12" w:right="0" w:firstLine="0"/>
              <w:jc w:val="left"/>
            </w:pPr>
            <w:r>
              <w:t xml:space="preserve">Dla L ≤ 0,5 m    </w:t>
            </w:r>
          </w:p>
          <w:p w:rsidR="00E57E01" w:rsidRDefault="00AE7858">
            <w:pPr>
              <w:spacing w:after="0" w:line="259" w:lineRule="auto"/>
              <w:ind w:left="12" w:right="0" w:firstLine="0"/>
              <w:jc w:val="left"/>
            </w:pPr>
            <w:r>
              <w:t xml:space="preserve">Dla 0,5 m ≤ L ≤ 1,5 m    </w:t>
            </w:r>
          </w:p>
          <w:p w:rsidR="00E57E01" w:rsidRDefault="00AE7858">
            <w:pPr>
              <w:spacing w:after="0" w:line="259" w:lineRule="auto"/>
              <w:ind w:left="12" w:right="0" w:firstLine="0"/>
              <w:jc w:val="left"/>
            </w:pPr>
            <w:r>
              <w:t xml:space="preserve">Dla L ≥ 1,5 m   </w:t>
            </w:r>
          </w:p>
        </w:tc>
        <w:tc>
          <w:tcPr>
            <w:tcW w:w="27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57E01" w:rsidRDefault="00AE7858">
            <w:pPr>
              <w:spacing w:after="0" w:line="259" w:lineRule="auto"/>
              <w:ind w:left="14" w:right="0" w:firstLine="0"/>
              <w:jc w:val="left"/>
            </w:pPr>
            <w:r>
              <w:t xml:space="preserve">± 10 mm    </w:t>
            </w:r>
          </w:p>
          <w:p w:rsidR="00E57E01" w:rsidRDefault="00AE7858">
            <w:pPr>
              <w:spacing w:after="0" w:line="259" w:lineRule="auto"/>
              <w:ind w:left="14" w:right="0" w:firstLine="0"/>
              <w:jc w:val="left"/>
            </w:pPr>
            <w:r>
              <w:t xml:space="preserve">± 15 mm    </w:t>
            </w:r>
          </w:p>
          <w:p w:rsidR="00E57E01" w:rsidRDefault="00AE7858">
            <w:pPr>
              <w:spacing w:after="0" w:line="259" w:lineRule="auto"/>
              <w:ind w:left="14" w:right="0" w:firstLine="0"/>
              <w:jc w:val="left"/>
            </w:pPr>
            <w:r>
              <w:t xml:space="preserve">± 20 mm    </w:t>
            </w:r>
          </w:p>
        </w:tc>
      </w:tr>
    </w:tbl>
    <w:p w:rsidR="00E31A54" w:rsidRDefault="00AE7858">
      <w:pPr>
        <w:tabs>
          <w:tab w:val="center" w:pos="2942"/>
        </w:tabs>
        <w:spacing w:after="83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sz w:val="22"/>
        </w:rPr>
        <w:tab/>
      </w:r>
    </w:p>
    <w:p w:rsidR="00E31A54" w:rsidRDefault="00E31A54">
      <w:pPr>
        <w:tabs>
          <w:tab w:val="center" w:pos="2942"/>
        </w:tabs>
        <w:spacing w:after="83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57E01" w:rsidRDefault="00AE7858">
      <w:pPr>
        <w:tabs>
          <w:tab w:val="center" w:pos="2942"/>
        </w:tabs>
        <w:spacing w:after="83" w:line="259" w:lineRule="auto"/>
        <w:ind w:left="0" w:right="0" w:firstLine="0"/>
        <w:jc w:val="left"/>
      </w:pPr>
      <w:r>
        <w:rPr>
          <w:b/>
        </w:rPr>
        <w:t xml:space="preserve">4. </w:t>
      </w:r>
      <w:r>
        <w:rPr>
          <w:b/>
          <w:u w:val="single" w:color="000000"/>
        </w:rPr>
        <w:t>Realizacja zawartych umów na dostawę stali zbrojeniowej:</w:t>
      </w:r>
      <w:r>
        <w:rPr>
          <w:b/>
        </w:rPr>
        <w:t xml:space="preserve"> </w:t>
      </w:r>
      <w:r>
        <w:t xml:space="preserve">   </w:t>
      </w:r>
    </w:p>
    <w:p w:rsidR="00E57E01" w:rsidRDefault="00AE7858">
      <w:pPr>
        <w:numPr>
          <w:ilvl w:val="0"/>
          <w:numId w:val="3"/>
        </w:numPr>
        <w:spacing w:after="219"/>
        <w:ind w:right="0" w:hanging="362"/>
      </w:pPr>
      <w:r>
        <w:t xml:space="preserve">Odbiorca dostarczy co najmniej 5 dni roboczych przed oczekiwanym terminem dostawy dokumentację techniczną w formie papierowej lub elektronicznej;    </w:t>
      </w:r>
    </w:p>
    <w:p w:rsidR="00E57E01" w:rsidRDefault="00AE7858">
      <w:pPr>
        <w:numPr>
          <w:ilvl w:val="0"/>
          <w:numId w:val="3"/>
        </w:numPr>
        <w:ind w:right="0" w:hanging="362"/>
      </w:pPr>
      <w:r>
        <w:t xml:space="preserve">Dokumentacja musi zawierać indeks (numer) jednoznacznie ją identyfikujący;    </w:t>
      </w:r>
    </w:p>
    <w:p w:rsidR="00E57E01" w:rsidRDefault="00AE7858">
      <w:pPr>
        <w:numPr>
          <w:ilvl w:val="0"/>
          <w:numId w:val="3"/>
        </w:numPr>
        <w:ind w:right="0" w:hanging="362"/>
      </w:pPr>
      <w:r>
        <w:t xml:space="preserve">Rysunek konstrukcyjny powinien zawierać wykaz stali, jednoznacznie określający średnice, długość oraz kształt poszczególnych pozycji oraz ich ilości;    </w:t>
      </w:r>
    </w:p>
    <w:p w:rsidR="00E57E01" w:rsidRDefault="00AE7858">
      <w:pPr>
        <w:numPr>
          <w:ilvl w:val="0"/>
          <w:numId w:val="3"/>
        </w:numPr>
        <w:spacing w:after="221"/>
        <w:ind w:right="0" w:hanging="362"/>
      </w:pPr>
      <w:r>
        <w:t xml:space="preserve">Pojedyncze pozycje zostaną podcięte i pogięte według zgłoszonego zapotrzebowania szczegółowego (zamówienia cząstkowego)    </w:t>
      </w:r>
    </w:p>
    <w:p w:rsidR="00E57E01" w:rsidRDefault="00AE7858">
      <w:pPr>
        <w:numPr>
          <w:ilvl w:val="0"/>
          <w:numId w:val="3"/>
        </w:numPr>
        <w:ind w:right="0" w:hanging="362"/>
      </w:pPr>
      <w:r>
        <w:t xml:space="preserve">Dostawy będą się odbywać według uzgodnionego obustronnie harmonogramu dostaw;    </w:t>
      </w:r>
    </w:p>
    <w:p w:rsidR="00E57E01" w:rsidRDefault="00AE7858">
      <w:pPr>
        <w:numPr>
          <w:ilvl w:val="0"/>
          <w:numId w:val="3"/>
        </w:numPr>
        <w:ind w:right="0" w:hanging="362"/>
      </w:pPr>
      <w:r>
        <w:t xml:space="preserve">Zapotrzebowanie szczegółowe, z zastrzeżeniem pkt. 2 lit. b) musi być złożone pisemnie z 5-cio dniowym wyprzedzeniem (przyjmuje się dni robocze tj. poniedziałek – piątek) przed oczekiwanym terminem dostawy i musi zawierać w sposób jednoznacznie określony pełną dokumentację, na podstawie której ma być wykonane. W przypadku gdy w zleceniu występuje przewaga pozycji giętych czas wykonania może zostać wydłużony do 7 dni roboczych;  </w:t>
      </w:r>
    </w:p>
    <w:p w:rsidR="00E57E01" w:rsidRDefault="00AE7858">
      <w:pPr>
        <w:numPr>
          <w:ilvl w:val="0"/>
          <w:numId w:val="3"/>
        </w:numPr>
        <w:ind w:right="0" w:hanging="362"/>
      </w:pPr>
      <w:r>
        <w:t xml:space="preserve">Zapotrzebowanie szczegółowe złożone w danym dniu może obejmować maksymalnie 24 ton stali zbrojeniowej.    </w:t>
      </w:r>
    </w:p>
    <w:p w:rsidR="00E57E01" w:rsidRDefault="00AE7858">
      <w:pPr>
        <w:numPr>
          <w:ilvl w:val="0"/>
          <w:numId w:val="3"/>
        </w:numPr>
        <w:ind w:right="0" w:hanging="362"/>
      </w:pPr>
      <w:r>
        <w:t xml:space="preserve">W przypadku gdy odbiorca nie spełni wymogów określonych w pkt. a), b), c), f), lub g) dostawca ma prawo nie zrealizować zapotrzebowania szczegółowego i nie ponosi za to jakiejkolwiek odpowiedzialności;    </w:t>
      </w:r>
    </w:p>
    <w:p w:rsidR="00E57E01" w:rsidRDefault="00AE7858">
      <w:pPr>
        <w:numPr>
          <w:ilvl w:val="0"/>
          <w:numId w:val="3"/>
        </w:numPr>
        <w:spacing w:after="226" w:line="260" w:lineRule="auto"/>
        <w:ind w:right="0" w:hanging="362"/>
      </w:pPr>
      <w:r>
        <w:t xml:space="preserve">Terminy wykonania danego zapotrzebowania szczegółowego ulegają przesunięciu z powodu wykrytych przez dostawcę błędów w dokumentacji technicznej lub wprowadzonych przez odbiorcę zmian i korekt. </w:t>
      </w:r>
      <w:r>
        <w:lastRenderedPageBreak/>
        <w:t xml:space="preserve">W tym przypadku termin realizacji zapotrzebowania szczegółowego będzie liczony od daty dostarczenia przez odbiorcę poprawnej dokumentacji;    </w:t>
      </w:r>
    </w:p>
    <w:p w:rsidR="00E57E01" w:rsidRDefault="00AE7858">
      <w:pPr>
        <w:numPr>
          <w:ilvl w:val="0"/>
          <w:numId w:val="3"/>
        </w:numPr>
        <w:spacing w:after="693"/>
        <w:ind w:right="0" w:hanging="362"/>
      </w:pPr>
      <w:r>
        <w:t xml:space="preserve">W przypadku, gdy odbiorca nie odbierze towaru w terminie wynikającym ze złożonego zapotrzebowania szczegółowego zobowiązany będzie do zapłaty ceny za te towary tak, jakby ich wydanie nastąpiło w terminie określonym w zapotrzebowaniu, a gdy zapotrzebowania szczegółowe nie zostały złożone na całą ilość towarów będących przedmiotem danej umowy/zamówienia dostawy – odbiorca zobowiązany jest zapłacić za towary, na które nie złożono </w:t>
      </w:r>
      <w:proofErr w:type="spellStart"/>
      <w:r>
        <w:t>zapotrzebowań</w:t>
      </w:r>
      <w:proofErr w:type="spellEnd"/>
      <w:r>
        <w:t xml:space="preserve"> szczegółowych tak, jakby ich wydanie nastąpiło w terminie wynikającym z umowy bądź zamówienia.    </w:t>
      </w:r>
    </w:p>
    <w:p w:rsidR="00E57E01" w:rsidRDefault="00AE7858">
      <w:pPr>
        <w:pStyle w:val="Nagwek1"/>
        <w:tabs>
          <w:tab w:val="center" w:pos="1356"/>
        </w:tabs>
        <w:spacing w:after="80"/>
        <w:ind w:left="-1" w:firstLine="0"/>
      </w:pPr>
      <w:r>
        <w:rPr>
          <w:rFonts w:ascii="Calibri" w:eastAsia="Calibri" w:hAnsi="Calibri" w:cs="Calibri"/>
          <w:b w:val="0"/>
          <w:sz w:val="22"/>
          <w:u w:val="none"/>
        </w:rPr>
        <w:t xml:space="preserve">   </w:t>
      </w: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 xml:space="preserve">5. </w:t>
      </w:r>
      <w:r>
        <w:t>Dostawa i transport</w:t>
      </w:r>
      <w:r>
        <w:rPr>
          <w:u w:val="none"/>
        </w:rPr>
        <w:t xml:space="preserve">    </w:t>
      </w:r>
    </w:p>
    <w:p w:rsidR="00E57E01" w:rsidRDefault="00AE7858">
      <w:pPr>
        <w:numPr>
          <w:ilvl w:val="0"/>
          <w:numId w:val="4"/>
        </w:numPr>
        <w:ind w:right="0" w:hanging="362"/>
      </w:pPr>
      <w:r>
        <w:t>Realizacja dostaw nastąpi transportem własnym lub wynajętym o gabarytach normatywnych tj.</w:t>
      </w:r>
      <w:r>
        <w:rPr>
          <w:sz w:val="16"/>
        </w:rPr>
        <w:t xml:space="preserve"> 2,4m x 2,4m x 13,60m </w:t>
      </w:r>
      <w:r>
        <w:t xml:space="preserve">i ładowności 24 t;    </w:t>
      </w:r>
    </w:p>
    <w:p w:rsidR="00E57E01" w:rsidRDefault="00AE7858">
      <w:pPr>
        <w:numPr>
          <w:ilvl w:val="0"/>
          <w:numId w:val="4"/>
        </w:numPr>
        <w:ind w:right="0" w:hanging="362"/>
      </w:pPr>
      <w:r>
        <w:t xml:space="preserve">Maksymalne gabaryty elementów zbrojeniowych o płaszczyźnie płaskiej nie mogą przekraczać prostokąta  o wymiarach 2,30m x 13,60m. Jeżeli projekt techniczny zawiera elementy o wymiarach większych wówczas odbiorca dokona zmian w projekcie. Jeżeli nie będzie to możliwe odbiorca odbierze ponadgabarytowy element własnym transportem lub poniesie koszty transportu specjalnego. Dostawca dokona indywidualnej wyceny takiego transportu;    </w:t>
      </w:r>
    </w:p>
    <w:p w:rsidR="00E57E01" w:rsidRDefault="00AE7858">
      <w:pPr>
        <w:numPr>
          <w:ilvl w:val="0"/>
          <w:numId w:val="4"/>
        </w:numPr>
        <w:spacing w:after="221"/>
        <w:ind w:right="0" w:hanging="362"/>
      </w:pPr>
      <w:r>
        <w:t xml:space="preserve">Odbiorca w miarę możliwości będzie składał zapotrzebowania szczegółowe w taki sposób, aby poszczególne ładunki dostaw były nie mniejsze niż 22 tony, w przypadku dostaw o ilościach mniejszych niż przedstawione powyżej dostawca ma prawo obciążyć odbiorcę kosztem transportu tej dostawy proporcjonalnie do niedoboru do 22 ton;     </w:t>
      </w:r>
    </w:p>
    <w:p w:rsidR="00E57E01" w:rsidRDefault="00AE7858">
      <w:pPr>
        <w:numPr>
          <w:ilvl w:val="0"/>
          <w:numId w:val="4"/>
        </w:numPr>
        <w:ind w:right="0" w:hanging="362"/>
      </w:pPr>
      <w:r>
        <w:t xml:space="preserve">Rozładunek dostawy na placu budowy jest po stronie odbiorcy i będzie realizowany w jak najkrótszym czasie, nie dłużej jednak niż w terminie 2 godzin od momentu wjazdu dostawy na budowę. W przypadku wydłużenia czasu rozładunku dostawca ma prawo obciążyć odbiorcę koszami do wysokości przez niego poniesionych na skutek tego przedłużenia rozładunku;    </w:t>
      </w:r>
    </w:p>
    <w:p w:rsidR="00E57E01" w:rsidRDefault="00AE7858">
      <w:pPr>
        <w:numPr>
          <w:ilvl w:val="0"/>
          <w:numId w:val="4"/>
        </w:numPr>
        <w:ind w:right="0" w:hanging="362"/>
      </w:pPr>
      <w:r>
        <w:t xml:space="preserve">Warunkiem terminowej dostawy jest m.in. zapewnienie przez odbiorcę dróg dojazdowych gwarantujących wjazd transportem ciężarowym na budowę. W przypadku ograniczeń w ruchu samochodów ciężarowych odbiorca zobowiązany jest dostarczyć dostawcy odpowiednie pozwolenia, zezwalające na wjazd na teren budowy. </w:t>
      </w:r>
    </w:p>
    <w:p w:rsidR="00E31A54" w:rsidRDefault="00E31A54" w:rsidP="00E31A54">
      <w:pPr>
        <w:ind w:left="705" w:right="0" w:firstLine="0"/>
      </w:pPr>
    </w:p>
    <w:p w:rsidR="00E57E01" w:rsidRDefault="00AE7858">
      <w:pPr>
        <w:pStyle w:val="Nagwek1"/>
        <w:spacing w:after="265"/>
        <w:ind w:left="413"/>
      </w:pPr>
      <w:r>
        <w:rPr>
          <w:u w:val="none"/>
        </w:rPr>
        <w:t xml:space="preserve"> 6.</w:t>
      </w:r>
      <w:r>
        <w:t xml:space="preserve"> Reklamacje</w:t>
      </w:r>
      <w:r>
        <w:rPr>
          <w:b w:val="0"/>
          <w:u w:val="none"/>
        </w:rPr>
        <w:t xml:space="preserve">  </w:t>
      </w:r>
    </w:p>
    <w:p w:rsidR="00E57E01" w:rsidRDefault="00AE7858">
      <w:pPr>
        <w:numPr>
          <w:ilvl w:val="0"/>
          <w:numId w:val="5"/>
        </w:numPr>
        <w:spacing w:after="268" w:line="260" w:lineRule="auto"/>
        <w:ind w:right="0" w:hanging="216"/>
      </w:pPr>
      <w:r>
        <w:t xml:space="preserve">Zamawiający ma 2 dni robocze od zakończenia rozładunku na zgłoszenie reklamacji ilościowej w danym zamówieniu jednostkowym; </w:t>
      </w:r>
    </w:p>
    <w:p w:rsidR="00E57E01" w:rsidRDefault="00AE7858">
      <w:pPr>
        <w:numPr>
          <w:ilvl w:val="0"/>
          <w:numId w:val="5"/>
        </w:numPr>
        <w:spacing w:after="282" w:line="260" w:lineRule="auto"/>
        <w:ind w:right="0" w:hanging="216"/>
      </w:pPr>
      <w:r>
        <w:t xml:space="preserve">Reklamacje jakościowe poszczególnych pozycji elementów zbrojarskich mogą zostać zgłoszone nie później niż do momentu zabudowania zbrojenia i będą rozpatrywane każdorazowo po ich zgłoszeniu;   </w:t>
      </w:r>
    </w:p>
    <w:p w:rsidR="00E57E01" w:rsidRDefault="00AE7858">
      <w:pPr>
        <w:numPr>
          <w:ilvl w:val="0"/>
          <w:numId w:val="5"/>
        </w:numPr>
        <w:spacing w:after="323"/>
        <w:ind w:right="0" w:hanging="216"/>
      </w:pPr>
      <w:r>
        <w:t xml:space="preserve">Dostawca ma 2 dni robocze na rozpatrzenie reklamacji; </w:t>
      </w:r>
    </w:p>
    <w:p w:rsidR="00E31A54" w:rsidRDefault="00E31A54" w:rsidP="00E31A54">
      <w:pPr>
        <w:spacing w:after="323"/>
        <w:ind w:left="604" w:right="0" w:firstLine="0"/>
      </w:pPr>
    </w:p>
    <w:p w:rsidR="00E31A54" w:rsidRDefault="00E31A54" w:rsidP="00E31A54">
      <w:pPr>
        <w:spacing w:after="323"/>
        <w:ind w:left="604" w:right="0" w:firstLine="0"/>
      </w:pPr>
    </w:p>
    <w:p w:rsidR="00E57E01" w:rsidRDefault="00AE7858">
      <w:pPr>
        <w:pStyle w:val="Nagwek1"/>
        <w:tabs>
          <w:tab w:val="center" w:pos="1549"/>
        </w:tabs>
        <w:ind w:left="-1" w:firstLine="0"/>
      </w:pPr>
      <w:r>
        <w:rPr>
          <w:rFonts w:ascii="Calibri" w:eastAsia="Calibri" w:hAnsi="Calibri" w:cs="Calibri"/>
          <w:b w:val="0"/>
          <w:sz w:val="22"/>
          <w:u w:val="none"/>
        </w:rPr>
        <w:lastRenderedPageBreak/>
        <w:t xml:space="preserve">   </w:t>
      </w: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 xml:space="preserve">7. </w:t>
      </w:r>
      <w:r>
        <w:t>Jednostki rozliczeniowe</w:t>
      </w:r>
      <w:r>
        <w:rPr>
          <w:u w:val="none"/>
        </w:rPr>
        <w:t xml:space="preserve">    </w:t>
      </w:r>
    </w:p>
    <w:p w:rsidR="00E57E01" w:rsidRDefault="00AE7858">
      <w:pPr>
        <w:spacing w:after="26"/>
        <w:ind w:left="705" w:right="0" w:firstLine="0"/>
      </w:pPr>
      <w:r>
        <w:t xml:space="preserve">Jednostką rozliczeniową jest tona zbrojenia wyliczona jako iloczyn długości pręta zbrojeniowego i teoretycznego ciężaru właściwego stali dla danej średnicy:    </w:t>
      </w:r>
    </w:p>
    <w:tbl>
      <w:tblPr>
        <w:tblStyle w:val="TableGrid"/>
        <w:tblW w:w="2679" w:type="dxa"/>
        <w:tblInd w:w="780" w:type="dxa"/>
        <w:tblCellMar>
          <w:left w:w="115" w:type="dxa"/>
          <w:right w:w="6" w:type="dxa"/>
        </w:tblCellMar>
        <w:tblLook w:val="04A0" w:firstRow="1" w:lastRow="0" w:firstColumn="1" w:lastColumn="0" w:noHBand="0" w:noVBand="1"/>
      </w:tblPr>
      <w:tblGrid>
        <w:gridCol w:w="977"/>
        <w:gridCol w:w="1702"/>
      </w:tblGrid>
      <w:tr w:rsidR="00E57E01">
        <w:trPr>
          <w:trHeight w:val="480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Średnica</w:t>
            </w:r>
            <w:r>
              <w:t xml:space="preserve">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Ciężar </w:t>
            </w:r>
            <w:proofErr w:type="spellStart"/>
            <w:r>
              <w:rPr>
                <w:b/>
              </w:rPr>
              <w:t>teor</w:t>
            </w:r>
            <w:proofErr w:type="spellEnd"/>
            <w:r>
              <w:rPr>
                <w:b/>
              </w:rPr>
              <w:t xml:space="preserve">. 1 </w:t>
            </w:r>
            <w:proofErr w:type="spellStart"/>
            <w:r>
              <w:rPr>
                <w:b/>
              </w:rPr>
              <w:t>mb</w:t>
            </w:r>
            <w:proofErr w:type="spellEnd"/>
            <w:r>
              <w:t xml:space="preserve">   </w:t>
            </w:r>
          </w:p>
        </w:tc>
      </w:tr>
      <w:tr w:rsidR="00E57E01">
        <w:trPr>
          <w:trHeight w:val="482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</w:rPr>
              <w:t>[mm]</w:t>
            </w:r>
            <w:r>
              <w:t xml:space="preserve">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[kg]</w:t>
            </w:r>
            <w:r>
              <w:t xml:space="preserve">   </w:t>
            </w:r>
          </w:p>
        </w:tc>
      </w:tr>
      <w:tr w:rsidR="00E57E01">
        <w:trPr>
          <w:trHeight w:val="480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94" w:firstLine="0"/>
              <w:jc w:val="center"/>
            </w:pPr>
            <w:r>
              <w:t xml:space="preserve">6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0,222   </w:t>
            </w:r>
          </w:p>
        </w:tc>
      </w:tr>
      <w:tr w:rsidR="00E57E01">
        <w:trPr>
          <w:trHeight w:val="485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94" w:firstLine="0"/>
              <w:jc w:val="center"/>
            </w:pPr>
            <w:r>
              <w:t xml:space="preserve">8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0,395   </w:t>
            </w:r>
          </w:p>
        </w:tc>
      </w:tr>
      <w:tr w:rsidR="00E57E01">
        <w:trPr>
          <w:trHeight w:val="480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86" w:firstLine="0"/>
              <w:jc w:val="center"/>
            </w:pPr>
            <w:r>
              <w:t xml:space="preserve">10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0,617   </w:t>
            </w:r>
          </w:p>
        </w:tc>
      </w:tr>
      <w:tr w:rsidR="00E57E01">
        <w:trPr>
          <w:trHeight w:val="480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86" w:firstLine="0"/>
              <w:jc w:val="center"/>
            </w:pPr>
            <w:r>
              <w:t xml:space="preserve">12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0,888   </w:t>
            </w:r>
          </w:p>
        </w:tc>
      </w:tr>
      <w:tr w:rsidR="00E57E01">
        <w:trPr>
          <w:trHeight w:val="483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86" w:firstLine="0"/>
              <w:jc w:val="center"/>
            </w:pPr>
            <w:r>
              <w:t xml:space="preserve">14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1,210   </w:t>
            </w:r>
          </w:p>
        </w:tc>
      </w:tr>
      <w:tr w:rsidR="00E57E01">
        <w:trPr>
          <w:trHeight w:val="480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86" w:firstLine="0"/>
              <w:jc w:val="center"/>
            </w:pPr>
            <w:r>
              <w:t xml:space="preserve">16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1,580   </w:t>
            </w:r>
          </w:p>
        </w:tc>
      </w:tr>
      <w:tr w:rsidR="00E57E01">
        <w:trPr>
          <w:trHeight w:val="480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86" w:firstLine="0"/>
              <w:jc w:val="center"/>
            </w:pPr>
            <w:r>
              <w:t xml:space="preserve">18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2,000   </w:t>
            </w:r>
          </w:p>
        </w:tc>
      </w:tr>
      <w:tr w:rsidR="00E57E01">
        <w:trPr>
          <w:trHeight w:val="480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86" w:firstLine="0"/>
              <w:jc w:val="center"/>
            </w:pPr>
            <w:r>
              <w:t xml:space="preserve">20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2,470   </w:t>
            </w:r>
          </w:p>
        </w:tc>
      </w:tr>
      <w:tr w:rsidR="00E57E01">
        <w:trPr>
          <w:trHeight w:val="485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86" w:firstLine="0"/>
              <w:jc w:val="center"/>
            </w:pPr>
            <w:r>
              <w:t xml:space="preserve">22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2,980   </w:t>
            </w:r>
          </w:p>
        </w:tc>
      </w:tr>
      <w:tr w:rsidR="00E57E01">
        <w:trPr>
          <w:trHeight w:val="480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86" w:firstLine="0"/>
              <w:jc w:val="center"/>
            </w:pPr>
            <w:r>
              <w:t xml:space="preserve">25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3,850   </w:t>
            </w:r>
          </w:p>
        </w:tc>
      </w:tr>
      <w:tr w:rsidR="00E57E01">
        <w:trPr>
          <w:trHeight w:val="480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86" w:firstLine="0"/>
              <w:jc w:val="center"/>
            </w:pPr>
            <w:r>
              <w:t xml:space="preserve">28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4,830   </w:t>
            </w:r>
          </w:p>
        </w:tc>
      </w:tr>
      <w:tr w:rsidR="00E57E01">
        <w:trPr>
          <w:trHeight w:val="483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86" w:firstLine="0"/>
              <w:jc w:val="center"/>
            </w:pPr>
            <w:r>
              <w:t xml:space="preserve">32   </w:t>
            </w:r>
          </w:p>
        </w:tc>
        <w:tc>
          <w:tcPr>
            <w:tcW w:w="1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57E01" w:rsidRDefault="00AE7858">
            <w:pPr>
              <w:spacing w:after="0" w:line="259" w:lineRule="auto"/>
              <w:ind w:left="0" w:right="77" w:firstLine="0"/>
              <w:jc w:val="center"/>
            </w:pPr>
            <w:r>
              <w:t xml:space="preserve">6,310   </w:t>
            </w:r>
          </w:p>
        </w:tc>
      </w:tr>
    </w:tbl>
    <w:p w:rsidR="00E57E01" w:rsidRDefault="00AE7858">
      <w:pPr>
        <w:spacing w:after="0" w:line="259" w:lineRule="auto"/>
        <w:ind w:left="403" w:right="0" w:firstLine="0"/>
        <w:jc w:val="left"/>
      </w:pPr>
      <w:r>
        <w:t xml:space="preserve">   </w:t>
      </w:r>
    </w:p>
    <w:sectPr w:rsidR="00E57E01" w:rsidSect="00E31A54">
      <w:headerReference w:type="default" r:id="rId7"/>
      <w:footerReference w:type="default" r:id="rId8"/>
      <w:pgSz w:w="11899" w:h="16841"/>
      <w:pgMar w:top="1436" w:right="1397" w:bottom="2232" w:left="1378" w:header="1134" w:footer="1134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76" w:rsidRDefault="00A41F76" w:rsidP="00E31A54">
      <w:pPr>
        <w:spacing w:after="0" w:line="240" w:lineRule="auto"/>
      </w:pPr>
      <w:r>
        <w:separator/>
      </w:r>
    </w:p>
  </w:endnote>
  <w:endnote w:type="continuationSeparator" w:id="0">
    <w:p w:rsidR="00A41F76" w:rsidRDefault="00A41F76" w:rsidP="00E3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54" w:rsidRDefault="00E31A54" w:rsidP="00E31A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76" w:rsidRDefault="00A41F76" w:rsidP="00E31A54">
      <w:pPr>
        <w:spacing w:after="0" w:line="240" w:lineRule="auto"/>
      </w:pPr>
      <w:r>
        <w:separator/>
      </w:r>
    </w:p>
  </w:footnote>
  <w:footnote w:type="continuationSeparator" w:id="0">
    <w:p w:rsidR="00A41F76" w:rsidRDefault="00A41F76" w:rsidP="00E3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F4" w:rsidRPr="00DB4950" w:rsidRDefault="00F07EF4" w:rsidP="00F07EF4">
    <w:pPr>
      <w:pStyle w:val="Nagwek"/>
      <w:jc w:val="right"/>
      <w:rPr>
        <w:rFonts w:asciiTheme="minorHAnsi" w:hAnsiTheme="minorHAnsi" w:cstheme="minorHAnsi"/>
        <w:b/>
        <w:sz w:val="22"/>
      </w:rPr>
    </w:pPr>
    <w:r w:rsidRPr="00DB4950">
      <w:rPr>
        <w:b/>
        <w:noProof/>
      </w:rPr>
      <w:drawing>
        <wp:anchor distT="0" distB="0" distL="114300" distR="114300" simplePos="0" relativeHeight="251659264" behindDoc="1" locked="0" layoutInCell="1" allowOverlap="1" wp14:anchorId="6A5F5ECF" wp14:editId="67C51AB1">
          <wp:simplePos x="0" y="0"/>
          <wp:positionH relativeFrom="margin">
            <wp:align>left</wp:align>
          </wp:positionH>
          <wp:positionV relativeFrom="paragraph">
            <wp:posOffset>-803910</wp:posOffset>
          </wp:positionV>
          <wp:extent cx="2209800" cy="1096836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096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B4950">
      <w:rPr>
        <w:b/>
      </w:rPr>
      <w:t>T</w:t>
    </w:r>
    <w:r w:rsidRPr="00DB4950">
      <w:rPr>
        <w:rFonts w:asciiTheme="minorHAnsi" w:hAnsiTheme="minorHAnsi" w:cstheme="minorHAnsi"/>
        <w:b/>
        <w:sz w:val="22"/>
      </w:rPr>
      <w:t>ranscoil</w:t>
    </w:r>
    <w:proofErr w:type="spellEnd"/>
    <w:r w:rsidRPr="00DB4950">
      <w:rPr>
        <w:rFonts w:asciiTheme="minorHAnsi" w:hAnsiTheme="minorHAnsi" w:cstheme="minorHAnsi"/>
        <w:b/>
        <w:sz w:val="22"/>
      </w:rPr>
      <w:t xml:space="preserve"> Sp. z o.o.</w:t>
    </w:r>
  </w:p>
  <w:p w:rsidR="00F07EF4" w:rsidRPr="00DB4950" w:rsidRDefault="00F07EF4" w:rsidP="00F07EF4">
    <w:pPr>
      <w:pStyle w:val="Nagwek"/>
      <w:jc w:val="right"/>
      <w:rPr>
        <w:rFonts w:asciiTheme="minorHAnsi" w:hAnsiTheme="minorHAnsi" w:cstheme="minorHAnsi"/>
        <w:b/>
        <w:sz w:val="22"/>
      </w:rPr>
    </w:pPr>
    <w:r w:rsidRPr="00DB4950">
      <w:rPr>
        <w:rFonts w:asciiTheme="minorHAnsi" w:hAnsiTheme="minorHAnsi" w:cstheme="minorHAnsi"/>
        <w:b/>
        <w:sz w:val="22"/>
      </w:rPr>
      <w:t>Partyzantów 4</w:t>
    </w:r>
  </w:p>
  <w:p w:rsidR="00F07EF4" w:rsidRPr="00DB4950" w:rsidRDefault="00F07EF4" w:rsidP="00F07EF4">
    <w:pPr>
      <w:pStyle w:val="Nagwek"/>
      <w:jc w:val="right"/>
      <w:rPr>
        <w:rFonts w:asciiTheme="minorHAnsi" w:hAnsiTheme="minorHAnsi" w:cstheme="minorHAnsi"/>
        <w:b/>
        <w:sz w:val="22"/>
      </w:rPr>
    </w:pPr>
    <w:r w:rsidRPr="00DB4950">
      <w:rPr>
        <w:rFonts w:asciiTheme="minorHAnsi" w:hAnsiTheme="minorHAnsi" w:cstheme="minorHAnsi"/>
        <w:b/>
        <w:sz w:val="22"/>
      </w:rPr>
      <w:t>42-300 Myszków</w:t>
    </w:r>
  </w:p>
  <w:p w:rsidR="00F07EF4" w:rsidRPr="00DB4950" w:rsidRDefault="00F07EF4" w:rsidP="00F07EF4">
    <w:pPr>
      <w:pStyle w:val="Nagwek"/>
      <w:jc w:val="right"/>
      <w:rPr>
        <w:rFonts w:asciiTheme="minorHAnsi" w:hAnsiTheme="minorHAnsi" w:cstheme="minorHAnsi"/>
        <w:sz w:val="22"/>
      </w:rPr>
    </w:pPr>
    <w:r w:rsidRPr="00DB4950">
      <w:rPr>
        <w:rFonts w:asciiTheme="minorHAnsi" w:hAnsiTheme="minorHAnsi" w:cstheme="minorHAnsi"/>
        <w:b/>
        <w:sz w:val="22"/>
      </w:rPr>
      <w:t xml:space="preserve">NIP - </w:t>
    </w:r>
    <w:r w:rsidRPr="00DB4950">
      <w:rPr>
        <w:rFonts w:asciiTheme="minorHAnsi" w:hAnsiTheme="minorHAnsi" w:cstheme="minorHAnsi"/>
        <w:b/>
        <w:bCs/>
        <w:sz w:val="22"/>
        <w:shd w:val="clear" w:color="auto" w:fill="FCF8E3"/>
      </w:rPr>
      <w:t> </w:t>
    </w:r>
    <w:hyperlink r:id="rId2" w:history="1">
      <w:r w:rsidRPr="00DB4950">
        <w:rPr>
          <w:rStyle w:val="Hipercze"/>
          <w:rFonts w:asciiTheme="minorHAnsi" w:hAnsiTheme="minorHAnsi" w:cstheme="minorHAnsi"/>
          <w:b/>
          <w:bCs/>
          <w:color w:val="auto"/>
          <w:sz w:val="22"/>
          <w:u w:val="none"/>
        </w:rPr>
        <w:t>5771989572</w:t>
      </w:r>
    </w:hyperlink>
  </w:p>
  <w:p w:rsidR="00E31A54" w:rsidRDefault="00E31A54" w:rsidP="00E31A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18E"/>
    <w:multiLevelType w:val="hybridMultilevel"/>
    <w:tmpl w:val="3E4EAB8E"/>
    <w:lvl w:ilvl="0" w:tplc="014E45FC">
      <w:start w:val="1"/>
      <w:numFmt w:val="lowerLetter"/>
      <w:lvlText w:val="%1)"/>
      <w:lvlJc w:val="left"/>
      <w:pPr>
        <w:ind w:left="10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E0680A2">
      <w:start w:val="1"/>
      <w:numFmt w:val="lowerLetter"/>
      <w:lvlText w:val="%2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AF2CE26">
      <w:start w:val="1"/>
      <w:numFmt w:val="lowerRoman"/>
      <w:lvlText w:val="%3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04029C">
      <w:start w:val="1"/>
      <w:numFmt w:val="decimal"/>
      <w:lvlText w:val="%4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C82A540">
      <w:start w:val="1"/>
      <w:numFmt w:val="lowerLetter"/>
      <w:lvlText w:val="%5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3C42E40">
      <w:start w:val="1"/>
      <w:numFmt w:val="lowerRoman"/>
      <w:lvlText w:val="%6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7A2C692">
      <w:start w:val="1"/>
      <w:numFmt w:val="decimal"/>
      <w:lvlText w:val="%7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07A89CC">
      <w:start w:val="1"/>
      <w:numFmt w:val="lowerLetter"/>
      <w:lvlText w:val="%8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2443DDA">
      <w:start w:val="1"/>
      <w:numFmt w:val="lowerRoman"/>
      <w:lvlText w:val="%9"/>
      <w:lvlJc w:val="left"/>
      <w:pPr>
        <w:ind w:left="6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B13C3"/>
    <w:multiLevelType w:val="hybridMultilevel"/>
    <w:tmpl w:val="A282BD2A"/>
    <w:lvl w:ilvl="0" w:tplc="972E3C10">
      <w:start w:val="1"/>
      <w:numFmt w:val="lowerLetter"/>
      <w:lvlText w:val="%1)"/>
      <w:lvlJc w:val="left"/>
      <w:pPr>
        <w:ind w:left="10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94C79AA">
      <w:start w:val="1"/>
      <w:numFmt w:val="lowerLetter"/>
      <w:lvlText w:val="%2"/>
      <w:lvlJc w:val="left"/>
      <w:pPr>
        <w:ind w:left="17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7824ADC">
      <w:start w:val="1"/>
      <w:numFmt w:val="lowerRoman"/>
      <w:lvlText w:val="%3"/>
      <w:lvlJc w:val="left"/>
      <w:pPr>
        <w:ind w:left="25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10825E8">
      <w:start w:val="1"/>
      <w:numFmt w:val="decimal"/>
      <w:lvlText w:val="%4"/>
      <w:lvlJc w:val="left"/>
      <w:pPr>
        <w:ind w:left="32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32071E0">
      <w:start w:val="1"/>
      <w:numFmt w:val="lowerLetter"/>
      <w:lvlText w:val="%5"/>
      <w:lvlJc w:val="left"/>
      <w:pPr>
        <w:ind w:left="39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8EAF04A">
      <w:start w:val="1"/>
      <w:numFmt w:val="lowerRoman"/>
      <w:lvlText w:val="%6"/>
      <w:lvlJc w:val="left"/>
      <w:pPr>
        <w:ind w:left="46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7C43860">
      <w:start w:val="1"/>
      <w:numFmt w:val="decimal"/>
      <w:lvlText w:val="%7"/>
      <w:lvlJc w:val="left"/>
      <w:pPr>
        <w:ind w:left="53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9D05D1E">
      <w:start w:val="1"/>
      <w:numFmt w:val="lowerLetter"/>
      <w:lvlText w:val="%8"/>
      <w:lvlJc w:val="left"/>
      <w:pPr>
        <w:ind w:left="61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7E2CC2">
      <w:start w:val="1"/>
      <w:numFmt w:val="lowerRoman"/>
      <w:lvlText w:val="%9"/>
      <w:lvlJc w:val="left"/>
      <w:pPr>
        <w:ind w:left="68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FD5DA2"/>
    <w:multiLevelType w:val="hybridMultilevel"/>
    <w:tmpl w:val="9ABA7C14"/>
    <w:lvl w:ilvl="0" w:tplc="93EC4B6C">
      <w:start w:val="1"/>
      <w:numFmt w:val="lowerLetter"/>
      <w:lvlText w:val="%1)"/>
      <w:lvlJc w:val="left"/>
      <w:pPr>
        <w:ind w:left="7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DC8C9B4">
      <w:start w:val="1"/>
      <w:numFmt w:val="lowerLetter"/>
      <w:lvlText w:val="%2"/>
      <w:lvlJc w:val="left"/>
      <w:pPr>
        <w:ind w:left="14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976114C">
      <w:start w:val="1"/>
      <w:numFmt w:val="lowerRoman"/>
      <w:lvlText w:val="%3"/>
      <w:lvlJc w:val="left"/>
      <w:pPr>
        <w:ind w:left="22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294F85E">
      <w:start w:val="1"/>
      <w:numFmt w:val="decimal"/>
      <w:lvlText w:val="%4"/>
      <w:lvlJc w:val="left"/>
      <w:pPr>
        <w:ind w:left="29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F92DED4">
      <w:start w:val="1"/>
      <w:numFmt w:val="lowerLetter"/>
      <w:lvlText w:val="%5"/>
      <w:lvlJc w:val="left"/>
      <w:pPr>
        <w:ind w:left="36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C66E2EE">
      <w:start w:val="1"/>
      <w:numFmt w:val="lowerRoman"/>
      <w:lvlText w:val="%6"/>
      <w:lvlJc w:val="left"/>
      <w:pPr>
        <w:ind w:left="43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2EE73E8">
      <w:start w:val="1"/>
      <w:numFmt w:val="decimal"/>
      <w:lvlText w:val="%7"/>
      <w:lvlJc w:val="left"/>
      <w:pPr>
        <w:ind w:left="50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63AD904">
      <w:start w:val="1"/>
      <w:numFmt w:val="lowerLetter"/>
      <w:lvlText w:val="%8"/>
      <w:lvlJc w:val="left"/>
      <w:pPr>
        <w:ind w:left="58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0749E0C">
      <w:start w:val="1"/>
      <w:numFmt w:val="lowerRoman"/>
      <w:lvlText w:val="%9"/>
      <w:lvlJc w:val="left"/>
      <w:pPr>
        <w:ind w:left="65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20506D"/>
    <w:multiLevelType w:val="hybridMultilevel"/>
    <w:tmpl w:val="743824A2"/>
    <w:lvl w:ilvl="0" w:tplc="BAFCF6EE">
      <w:start w:val="1"/>
      <w:numFmt w:val="lowerLetter"/>
      <w:lvlText w:val="%1)"/>
      <w:lvlJc w:val="left"/>
      <w:pPr>
        <w:ind w:left="604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27C80CA">
      <w:start w:val="1"/>
      <w:numFmt w:val="lowerLetter"/>
      <w:lvlText w:val="%2"/>
      <w:lvlJc w:val="left"/>
      <w:pPr>
        <w:ind w:left="184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A980D4C">
      <w:start w:val="1"/>
      <w:numFmt w:val="lowerRoman"/>
      <w:lvlText w:val="%3"/>
      <w:lvlJc w:val="left"/>
      <w:pPr>
        <w:ind w:left="256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47006CE">
      <w:start w:val="1"/>
      <w:numFmt w:val="decimal"/>
      <w:lvlText w:val="%4"/>
      <w:lvlJc w:val="left"/>
      <w:pPr>
        <w:ind w:left="328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582559E">
      <w:start w:val="1"/>
      <w:numFmt w:val="lowerLetter"/>
      <w:lvlText w:val="%5"/>
      <w:lvlJc w:val="left"/>
      <w:pPr>
        <w:ind w:left="400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0B4D636">
      <w:start w:val="1"/>
      <w:numFmt w:val="lowerRoman"/>
      <w:lvlText w:val="%6"/>
      <w:lvlJc w:val="left"/>
      <w:pPr>
        <w:ind w:left="472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2D84F6E">
      <w:start w:val="1"/>
      <w:numFmt w:val="decimal"/>
      <w:lvlText w:val="%7"/>
      <w:lvlJc w:val="left"/>
      <w:pPr>
        <w:ind w:left="544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776BDC8">
      <w:start w:val="1"/>
      <w:numFmt w:val="lowerLetter"/>
      <w:lvlText w:val="%8"/>
      <w:lvlJc w:val="left"/>
      <w:pPr>
        <w:ind w:left="616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8AE0DF8">
      <w:start w:val="1"/>
      <w:numFmt w:val="lowerRoman"/>
      <w:lvlText w:val="%9"/>
      <w:lvlJc w:val="left"/>
      <w:pPr>
        <w:ind w:left="688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129D4"/>
    <w:multiLevelType w:val="hybridMultilevel"/>
    <w:tmpl w:val="E8BC383C"/>
    <w:lvl w:ilvl="0" w:tplc="AFF03B9A">
      <w:start w:val="1"/>
      <w:numFmt w:val="lowerLetter"/>
      <w:lvlText w:val="%1)"/>
      <w:lvlJc w:val="left"/>
      <w:pPr>
        <w:ind w:left="10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4F42BBC">
      <w:start w:val="1"/>
      <w:numFmt w:val="lowerLetter"/>
      <w:lvlText w:val="%2"/>
      <w:lvlJc w:val="left"/>
      <w:pPr>
        <w:ind w:left="17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B8254D0">
      <w:start w:val="1"/>
      <w:numFmt w:val="lowerRoman"/>
      <w:lvlText w:val="%3"/>
      <w:lvlJc w:val="left"/>
      <w:pPr>
        <w:ind w:left="25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A6AC800">
      <w:start w:val="1"/>
      <w:numFmt w:val="decimal"/>
      <w:lvlText w:val="%4"/>
      <w:lvlJc w:val="left"/>
      <w:pPr>
        <w:ind w:left="32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940FA90">
      <w:start w:val="1"/>
      <w:numFmt w:val="lowerLetter"/>
      <w:lvlText w:val="%5"/>
      <w:lvlJc w:val="left"/>
      <w:pPr>
        <w:ind w:left="39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3D2608C">
      <w:start w:val="1"/>
      <w:numFmt w:val="lowerRoman"/>
      <w:lvlText w:val="%6"/>
      <w:lvlJc w:val="left"/>
      <w:pPr>
        <w:ind w:left="46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EFA149E">
      <w:start w:val="1"/>
      <w:numFmt w:val="decimal"/>
      <w:lvlText w:val="%7"/>
      <w:lvlJc w:val="left"/>
      <w:pPr>
        <w:ind w:left="53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5340D58">
      <w:start w:val="1"/>
      <w:numFmt w:val="lowerLetter"/>
      <w:lvlText w:val="%8"/>
      <w:lvlJc w:val="left"/>
      <w:pPr>
        <w:ind w:left="61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A6A3172">
      <w:start w:val="1"/>
      <w:numFmt w:val="lowerRoman"/>
      <w:lvlText w:val="%9"/>
      <w:lvlJc w:val="left"/>
      <w:pPr>
        <w:ind w:left="68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01"/>
    <w:rsid w:val="00A41F76"/>
    <w:rsid w:val="00AE7858"/>
    <w:rsid w:val="00E31A54"/>
    <w:rsid w:val="00E57E01"/>
    <w:rsid w:val="00F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3675"/>
  <w15:docId w15:val="{871640D0-12A4-4579-95AD-7F21AE6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8" w:line="265" w:lineRule="auto"/>
      <w:ind w:left="775" w:right="1" w:hanging="372"/>
      <w:jc w:val="both"/>
    </w:pPr>
    <w:rPr>
      <w:rFonts w:ascii="Trebuchet MS" w:eastAsia="Trebuchet MS" w:hAnsi="Trebuchet MS" w:cs="Trebuchet MS"/>
      <w:color w:val="000000"/>
      <w:sz w:val="17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24" w:hanging="10"/>
      <w:outlineLvl w:val="0"/>
    </w:pPr>
    <w:rPr>
      <w:rFonts w:ascii="Trebuchet MS" w:eastAsia="Trebuchet MS" w:hAnsi="Trebuchet MS" w:cs="Trebuchet MS"/>
      <w:b/>
      <w:color w:val="000000"/>
      <w:sz w:val="17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17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A54"/>
    <w:rPr>
      <w:rFonts w:ascii="Trebuchet MS" w:eastAsia="Trebuchet MS" w:hAnsi="Trebuchet MS" w:cs="Trebuchet MS"/>
      <w:color w:val="000000"/>
      <w:sz w:val="17"/>
    </w:rPr>
  </w:style>
  <w:style w:type="paragraph" w:styleId="Stopka">
    <w:name w:val="footer"/>
    <w:basedOn w:val="Normalny"/>
    <w:link w:val="StopkaZnak"/>
    <w:uiPriority w:val="99"/>
    <w:unhideWhenUsed/>
    <w:rsid w:val="00E3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A54"/>
    <w:rPr>
      <w:rFonts w:ascii="Trebuchet MS" w:eastAsia="Trebuchet MS" w:hAnsi="Trebuchet MS" w:cs="Trebuchet MS"/>
      <w:color w:val="000000"/>
      <w:sz w:val="17"/>
    </w:rPr>
  </w:style>
  <w:style w:type="character" w:styleId="Hipercze">
    <w:name w:val="Hyperlink"/>
    <w:basedOn w:val="Domylnaczcionkaakapitu"/>
    <w:uiPriority w:val="99"/>
    <w:semiHidden/>
    <w:unhideWhenUsed/>
    <w:rsid w:val="00F07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msig.pl/krs/000080078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ogólne prefabrykacji i dostaw stali zbrojeniowej.pages</vt:lpstr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ogólne prefabrykacji i dostaw stali zbrojeniowej.pages</dc:title>
  <dc:subject/>
  <dc:creator>Przemek</dc:creator>
  <cp:keywords/>
  <cp:lastModifiedBy>Przemysław Oruba</cp:lastModifiedBy>
  <cp:revision>3</cp:revision>
  <dcterms:created xsi:type="dcterms:W3CDTF">2021-02-07T16:15:00Z</dcterms:created>
  <dcterms:modified xsi:type="dcterms:W3CDTF">2021-02-10T12:02:00Z</dcterms:modified>
</cp:coreProperties>
</file>